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E41CA4" w:rsidRDefault="001926F9">
      <w:pPr>
        <w:spacing w:after="200"/>
      </w:pPr>
      <w:bookmarkStart w:id="0" w:name="_GoBack"/>
      <w:bookmarkEnd w:id="0"/>
      <w:r>
        <w:t>Names ________________________________________________________________________________________  Period: ____</w:t>
      </w:r>
      <w:r>
        <w:tab/>
        <w:t xml:space="preserve">     </w:t>
      </w:r>
      <w:r>
        <w:rPr>
          <w:b/>
        </w:rPr>
        <w:t>Why is Flint’s water toxic?</w:t>
      </w:r>
    </w:p>
    <w:p w:rsidR="00E41CA4" w:rsidRDefault="001926F9">
      <w:r>
        <w:t>Instructions for model: After reading and discussing the article “How Lead Ended Up in Flint’s Tap Water,” use the space provided below to explain what water pipes are supposed to look like and why (left), what Flint’s bad lead pipes look like and why they</w:t>
      </w:r>
      <w:r>
        <w:t xml:space="preserve"> are leaching lead (middle), and then explain how lead affects humans and why it is toxic.  Use your best scientific thinking.</w:t>
      </w:r>
    </w:p>
    <w:p w:rsidR="00E41CA4" w:rsidRDefault="00E41CA4"/>
    <w:tbl>
      <w:tblPr>
        <w:tblStyle w:val="a"/>
        <w:tblW w:w="2302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905"/>
        <w:gridCol w:w="7815"/>
        <w:gridCol w:w="7305"/>
      </w:tblGrid>
      <w:tr w:rsidR="00E41CA4">
        <w:tc>
          <w:tcPr>
            <w:tcW w:w="7905" w:type="dxa"/>
            <w:shd w:val="clear" w:color="auto" w:fill="auto"/>
            <w:tcMar>
              <w:top w:w="100" w:type="dxa"/>
              <w:left w:w="100" w:type="dxa"/>
              <w:bottom w:w="100" w:type="dxa"/>
              <w:right w:w="100" w:type="dxa"/>
            </w:tcMar>
          </w:tcPr>
          <w:p w:rsidR="00E41CA4" w:rsidRDefault="001926F9">
            <w:pPr>
              <w:widowControl w:val="0"/>
              <w:spacing w:line="240" w:lineRule="auto"/>
              <w:jc w:val="center"/>
              <w:rPr>
                <w:b/>
              </w:rPr>
            </w:pPr>
            <w:r>
              <w:rPr>
                <w:b/>
              </w:rPr>
              <w:t>What good lead pipes look like (above) and why (below)</w:t>
            </w:r>
          </w:p>
        </w:tc>
        <w:tc>
          <w:tcPr>
            <w:tcW w:w="7815" w:type="dxa"/>
            <w:shd w:val="clear" w:color="auto" w:fill="auto"/>
            <w:tcMar>
              <w:top w:w="100" w:type="dxa"/>
              <w:left w:w="100" w:type="dxa"/>
              <w:bottom w:w="100" w:type="dxa"/>
              <w:right w:w="100" w:type="dxa"/>
            </w:tcMar>
          </w:tcPr>
          <w:p w:rsidR="00E41CA4" w:rsidRDefault="001926F9">
            <w:pPr>
              <w:widowControl w:val="0"/>
              <w:spacing w:line="240" w:lineRule="auto"/>
              <w:jc w:val="center"/>
              <w:rPr>
                <w:b/>
              </w:rPr>
            </w:pPr>
            <w:r>
              <w:rPr>
                <w:b/>
              </w:rPr>
              <w:t>What Flint’s “bad” lead pipes look like (above) and why (below)</w:t>
            </w:r>
          </w:p>
        </w:tc>
        <w:tc>
          <w:tcPr>
            <w:tcW w:w="7305" w:type="dxa"/>
            <w:shd w:val="clear" w:color="auto" w:fill="auto"/>
            <w:tcMar>
              <w:top w:w="100" w:type="dxa"/>
              <w:left w:w="100" w:type="dxa"/>
              <w:bottom w:w="100" w:type="dxa"/>
              <w:right w:w="100" w:type="dxa"/>
            </w:tcMar>
          </w:tcPr>
          <w:p w:rsidR="00E41CA4" w:rsidRDefault="001926F9">
            <w:pPr>
              <w:widowControl w:val="0"/>
              <w:spacing w:line="240" w:lineRule="auto"/>
              <w:jc w:val="center"/>
              <w:rPr>
                <w:b/>
              </w:rPr>
            </w:pPr>
            <w:r>
              <w:rPr>
                <w:b/>
              </w:rPr>
              <w:t>How toxic</w:t>
            </w:r>
            <w:r>
              <w:rPr>
                <w:b/>
              </w:rPr>
              <w:t xml:space="preserve"> water affects humans (above) and why it is toxic (below)</w:t>
            </w:r>
          </w:p>
        </w:tc>
      </w:tr>
      <w:tr w:rsidR="00E41CA4">
        <w:trPr>
          <w:trHeight w:val="6220"/>
        </w:trPr>
        <w:tc>
          <w:tcPr>
            <w:tcW w:w="7905" w:type="dxa"/>
            <w:shd w:val="clear" w:color="auto" w:fill="auto"/>
            <w:tcMar>
              <w:top w:w="100" w:type="dxa"/>
              <w:left w:w="100" w:type="dxa"/>
              <w:bottom w:w="100" w:type="dxa"/>
              <w:right w:w="100" w:type="dxa"/>
            </w:tcMar>
          </w:tcPr>
          <w:p w:rsidR="00E41CA4" w:rsidRDefault="00E41CA4">
            <w:pPr>
              <w:widowControl w:val="0"/>
              <w:spacing w:line="240" w:lineRule="auto"/>
            </w:pPr>
          </w:p>
          <w:p w:rsidR="00E41CA4" w:rsidRDefault="00E41CA4">
            <w:pPr>
              <w:widowControl w:val="0"/>
              <w:spacing w:line="240" w:lineRule="auto"/>
            </w:pPr>
          </w:p>
          <w:p w:rsidR="00E41CA4" w:rsidRDefault="00E41CA4">
            <w:pPr>
              <w:widowControl w:val="0"/>
              <w:spacing w:line="240" w:lineRule="auto"/>
            </w:pPr>
          </w:p>
          <w:p w:rsidR="00E41CA4" w:rsidRDefault="00E41CA4">
            <w:pPr>
              <w:widowControl w:val="0"/>
              <w:spacing w:line="240" w:lineRule="auto"/>
            </w:pPr>
          </w:p>
          <w:p w:rsidR="00E41CA4" w:rsidRDefault="00E41CA4">
            <w:pPr>
              <w:widowControl w:val="0"/>
              <w:spacing w:line="240" w:lineRule="auto"/>
            </w:pPr>
          </w:p>
          <w:p w:rsidR="00E41CA4" w:rsidRDefault="00E41CA4">
            <w:pPr>
              <w:widowControl w:val="0"/>
              <w:spacing w:line="240" w:lineRule="auto"/>
            </w:pPr>
          </w:p>
          <w:p w:rsidR="00E41CA4" w:rsidRDefault="00E41CA4">
            <w:pPr>
              <w:widowControl w:val="0"/>
              <w:spacing w:line="240" w:lineRule="auto"/>
            </w:pPr>
          </w:p>
          <w:p w:rsidR="00E41CA4" w:rsidRDefault="00E41CA4">
            <w:pPr>
              <w:widowControl w:val="0"/>
              <w:spacing w:line="240" w:lineRule="auto"/>
            </w:pPr>
          </w:p>
          <w:p w:rsidR="00E41CA4" w:rsidRDefault="001926F9">
            <w:pPr>
              <w:widowControl w:val="0"/>
              <w:spacing w:line="240" w:lineRule="auto"/>
            </w:pPr>
            <w:r>
              <w:rPr>
                <w:noProof/>
              </w:rPr>
              <mc:AlternateContent>
                <mc:Choice Requires="wps">
                  <w:drawing>
                    <wp:inline distT="114300" distB="114300" distL="114300" distR="114300">
                      <wp:extent cx="2760143" cy="1169458"/>
                      <wp:effectExtent l="0" t="0" r="0" b="0"/>
                      <wp:docPr id="2" name="Flowchart: Direct Access Storage 2"/>
                      <wp:cNvGraphicFramePr/>
                      <a:graphic xmlns:a="http://schemas.openxmlformats.org/drawingml/2006/main">
                        <a:graphicData uri="http://schemas.microsoft.com/office/word/2010/wordprocessingShape">
                          <wps:wsp>
                            <wps:cNvSpPr/>
                            <wps:spPr>
                              <a:xfrm>
                                <a:off x="638175" y="762000"/>
                                <a:ext cx="5105400" cy="2143125"/>
                              </a:xfrm>
                              <a:prstGeom prst="flowChartMagneticDrum">
                                <a:avLst/>
                              </a:prstGeom>
                              <a:noFill/>
                              <a:ln w="9525" cap="flat" cmpd="sng">
                                <a:solidFill>
                                  <a:srgbClr val="000000"/>
                                </a:solidFill>
                                <a:prstDash val="solid"/>
                                <a:round/>
                                <a:headEnd type="none" w="sm" len="sm"/>
                                <a:tailEnd type="none" w="sm" len="sm"/>
                              </a:ln>
                            </wps:spPr>
                            <wps:txbx>
                              <w:txbxContent>
                                <w:p w:rsidR="00E41CA4" w:rsidRDefault="00E41CA4">
                                  <w:pPr>
                                    <w:spacing w:line="240" w:lineRule="auto"/>
                                    <w:textDirection w:val="btLr"/>
                                  </w:pPr>
                                </w:p>
                              </w:txbxContent>
                            </wps:txbx>
                            <wps:bodyPr spcFirstLastPara="1" wrap="square" lIns="91425" tIns="91425" rIns="91425" bIns="91425" anchor="ctr" anchorCtr="0"/>
                          </wps:wsp>
                        </a:graphicData>
                      </a:graphic>
                    </wp:inline>
                  </w:drawing>
                </mc:Choice>
                <mc:Fallback>
                  <w:pict>
                    <v:shapetype id="_x0000_t133" coordsize="21600,21600" o:spt="133" path="m21600,10800qy18019,21600l3581,21600qx,10800,3581,l18019,qx21600,10800xem18019,21600nfqx14438,10800,18019,e">
                      <v:path o:extrusionok="f" gradientshapeok="t" o:connecttype="custom" o:connectlocs="10800,0;0,10800;10800,21600;14438,10800;21600,10800" o:connectangles="270,180,90,0,0" textboxrect="3581,0,14438,21600"/>
                    </v:shapetype>
                    <v:shape id="Flowchart: Direct Access Storage 2" o:spid="_x0000_s1026" type="#_x0000_t133" style="width:217.35pt;height:92.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A36NAIAAEoEAAAOAAAAZHJzL2Uyb0RvYy54bWysVNuO2jAQfa/Uf7D8XkJY2EtEWFVQqkrb&#10;LRLtBwyOk1jyrWND4O87NnSXtg+VqvJgZuy5nDkzk/nj0Wh2kBiUszUvR2POpBWuUbar+bev63f3&#10;nIUItgHtrKz5SQb+uHj7Zj74Sk5c73QjkVEQG6rB17yP0VdFEUQvDYSR89LSY+vQQCQVu6JBGCi6&#10;0cVkPL4tBoeNRydkCHS7Oj/yRY7ftlLEL20bZGS65oQt5hPzuUtnsZhD1SH4XokLDPgHFAaUpaQv&#10;oVYQge1R/RHKKIEuuDaOhDOFa1slZK6BqinHv1Wz7cHLXAuRE/wLTeH/hRXPhw0y1dR8wpkFQy1a&#10;azeIHjBWbKWQGGTvRaKXbaND6CSbJNYGHypy3voNXrRAYqLg2KJJ/1QcO9b89ua+vJtxdqr53S21&#10;7MK5PEYm6HlWjmdTumSCDCbl9KaczFL84jWQxxA/SmdYEmreEr5lwvcZOiujEivcm0w+HJ5CPPv+&#10;9ElArFsrrekeKm3ZUPOHGeVgAmjeWg2RROOJgWC7HCY4rZrkkjwCdrulRnaANEH5d4H3i1nKt4LQ&#10;n+3yUzKDCt3eNlnqJTQfbMPiyRPLltaBJzDBcKYlLQ8J2S6C0n+3I360JZpSH87MJyked0cKksSd&#10;a07U2uDFWhG4JwhxA0jDXVJaGnhK+H0PSCD0J0sT9VBOEyvxWsFrZXetgBW9oz0SETk7K8uY94rS&#10;Z1A0sLmLl+VKG3GtZ6vXT8DiBwAAAP//AwBQSwMEFAAGAAgAAAAhAO9RWr3bAAAABQEAAA8AAABk&#10;cnMvZG93bnJldi54bWxMj8FOwzAQRO9I/IO1SNyoQ4igSuNUqAJRcYKSCzc33iYR9jqKnTT5exYu&#10;cBlpNaOZt8V2dlZMOITOk4LbVQICqfamo0ZB9fF8swYRoiajrSdUsGCAbXl5Uejc+DO943SIjeAS&#10;CrlW0MbY51KGukWnw8r3SOyd/OB05HNopBn0mcudlWmS3EunO+KFVve4a7H+OoxOga7empcnQluN&#10;0+uOPvdLuk8Xpa6v5scNiIhz/AvDDz6jQ8lMRz+SCcIq4Efir7KX3WUPII4cWmcpyLKQ/+nLbwAA&#10;AP//AwBQSwECLQAUAAYACAAAACEAtoM4kv4AAADhAQAAEwAAAAAAAAAAAAAAAAAAAAAAW0NvbnRl&#10;bnRfVHlwZXNdLnhtbFBLAQItABQABgAIAAAAIQA4/SH/1gAAAJQBAAALAAAAAAAAAAAAAAAAAC8B&#10;AABfcmVscy8ucmVsc1BLAQItABQABgAIAAAAIQDdBA36NAIAAEoEAAAOAAAAAAAAAAAAAAAAAC4C&#10;AABkcnMvZTJvRG9jLnhtbFBLAQItABQABgAIAAAAIQDvUVq92wAAAAUBAAAPAAAAAAAAAAAAAAAA&#10;AI4EAABkcnMvZG93bnJldi54bWxQSwUGAAAAAAQABADzAAAAlgUAAAAA&#10;" filled="f">
                      <v:stroke startarrowwidth="narrow" startarrowlength="short" endarrowwidth="narrow" endarrowlength="short"/>
                      <v:textbox inset="2.53958mm,2.53958mm,2.53958mm,2.53958mm">
                        <w:txbxContent>
                          <w:p w:rsidR="00E41CA4" w:rsidRDefault="00E41CA4">
                            <w:pPr>
                              <w:spacing w:line="240" w:lineRule="auto"/>
                              <w:textDirection w:val="btLr"/>
                            </w:pPr>
                          </w:p>
                        </w:txbxContent>
                      </v:textbox>
                      <w10:anchorlock/>
                    </v:shape>
                  </w:pict>
                </mc:Fallback>
              </mc:AlternateContent>
            </w:r>
          </w:p>
        </w:tc>
        <w:tc>
          <w:tcPr>
            <w:tcW w:w="7815" w:type="dxa"/>
            <w:shd w:val="clear" w:color="auto" w:fill="auto"/>
            <w:tcMar>
              <w:top w:w="100" w:type="dxa"/>
              <w:left w:w="100" w:type="dxa"/>
              <w:bottom w:w="100" w:type="dxa"/>
              <w:right w:w="100" w:type="dxa"/>
            </w:tcMar>
          </w:tcPr>
          <w:p w:rsidR="00E41CA4" w:rsidRDefault="00E41CA4">
            <w:pPr>
              <w:widowControl w:val="0"/>
              <w:spacing w:line="240" w:lineRule="auto"/>
            </w:pPr>
          </w:p>
          <w:p w:rsidR="00E41CA4" w:rsidRDefault="00E41CA4">
            <w:pPr>
              <w:widowControl w:val="0"/>
              <w:spacing w:line="240" w:lineRule="auto"/>
            </w:pPr>
          </w:p>
          <w:p w:rsidR="00E41CA4" w:rsidRDefault="00E41CA4">
            <w:pPr>
              <w:widowControl w:val="0"/>
              <w:spacing w:line="240" w:lineRule="auto"/>
            </w:pPr>
          </w:p>
          <w:p w:rsidR="00E41CA4" w:rsidRDefault="00E41CA4">
            <w:pPr>
              <w:widowControl w:val="0"/>
              <w:spacing w:line="240" w:lineRule="auto"/>
            </w:pPr>
          </w:p>
          <w:p w:rsidR="00E41CA4" w:rsidRDefault="00E41CA4">
            <w:pPr>
              <w:widowControl w:val="0"/>
              <w:spacing w:line="240" w:lineRule="auto"/>
            </w:pPr>
          </w:p>
          <w:p w:rsidR="00E41CA4" w:rsidRDefault="00E41CA4">
            <w:pPr>
              <w:widowControl w:val="0"/>
              <w:spacing w:line="240" w:lineRule="auto"/>
            </w:pPr>
          </w:p>
          <w:p w:rsidR="00E41CA4" w:rsidRDefault="00E41CA4">
            <w:pPr>
              <w:widowControl w:val="0"/>
              <w:spacing w:line="240" w:lineRule="auto"/>
            </w:pPr>
          </w:p>
          <w:p w:rsidR="00E41CA4" w:rsidRDefault="00E41CA4">
            <w:pPr>
              <w:widowControl w:val="0"/>
              <w:spacing w:line="240" w:lineRule="auto"/>
            </w:pPr>
          </w:p>
          <w:p w:rsidR="00E41CA4" w:rsidRDefault="001926F9">
            <w:pPr>
              <w:widowControl w:val="0"/>
              <w:spacing w:line="240" w:lineRule="auto"/>
            </w:pPr>
            <w:r>
              <w:rPr>
                <w:noProof/>
              </w:rPr>
              <mc:AlternateContent>
                <mc:Choice Requires="wps">
                  <w:drawing>
                    <wp:inline distT="114300" distB="114300" distL="114300" distR="114300">
                      <wp:extent cx="2760143" cy="1169458"/>
                      <wp:effectExtent l="0" t="0" r="0" b="0"/>
                      <wp:docPr id="3" name="Flowchart: Direct Access Storage 3"/>
                      <wp:cNvGraphicFramePr/>
                      <a:graphic xmlns:a="http://schemas.openxmlformats.org/drawingml/2006/main">
                        <a:graphicData uri="http://schemas.microsoft.com/office/word/2010/wordprocessingShape">
                          <wps:wsp>
                            <wps:cNvSpPr/>
                            <wps:spPr>
                              <a:xfrm>
                                <a:off x="638175" y="762000"/>
                                <a:ext cx="5105400" cy="2143125"/>
                              </a:xfrm>
                              <a:prstGeom prst="flowChartMagneticDrum">
                                <a:avLst/>
                              </a:prstGeom>
                              <a:noFill/>
                              <a:ln w="9525" cap="flat" cmpd="sng">
                                <a:solidFill>
                                  <a:srgbClr val="000000"/>
                                </a:solidFill>
                                <a:prstDash val="solid"/>
                                <a:round/>
                                <a:headEnd type="none" w="sm" len="sm"/>
                                <a:tailEnd type="none" w="sm" len="sm"/>
                              </a:ln>
                            </wps:spPr>
                            <wps:txbx>
                              <w:txbxContent>
                                <w:p w:rsidR="00E41CA4" w:rsidRDefault="00E41CA4">
                                  <w:pPr>
                                    <w:spacing w:line="240" w:lineRule="auto"/>
                                    <w:textDirection w:val="btLr"/>
                                  </w:pPr>
                                </w:p>
                              </w:txbxContent>
                            </wps:txbx>
                            <wps:bodyPr spcFirstLastPara="1" wrap="square" lIns="91425" tIns="91425" rIns="91425" bIns="91425" anchor="ctr" anchorCtr="0"/>
                          </wps:wsp>
                        </a:graphicData>
                      </a:graphic>
                    </wp:inline>
                  </w:drawing>
                </mc:Choice>
                <mc:Fallback>
                  <w:pict>
                    <v:shape id="Flowchart: Direct Access Storage 3" o:spid="_x0000_s1027" type="#_x0000_t133" style="width:217.35pt;height:92.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yPCOAIAAFEEAAAOAAAAZHJzL2Uyb0RvYy54bWysVNtu2zAMfR+wfxD0vjhOmrQ16hRDswwD&#10;ui5Atw9gZNkWoNsoJXb+fpSStdn2MGBYHhRS4uXwkPTd/Wg0O0gMytmal5MpZ9IK1yjb1fzb1827&#10;G85CBNuAdlbW/CgDv1+9fXM3+ErOXO90I5FREBuqwde8j9FXRRFELw2EifPS0mPr0EAkFbuiQRgo&#10;utHFbDpdFoPDxqMTMgS6XZ8e+SrHb1sp4pe2DTIyXXPCFvOJ+dyls1jdQdUh+F6JMwz4BxQGlKWk&#10;L6HWEIHtUf0RyiiBLrg2ToQzhWtbJWSugaopp79V89yDl7kWIif4F5rC/wsrng5bZKqp+ZwzC4Za&#10;tNFuED1grNhaITHI3otEL3uODqGTbJ5YG3yoyPnZb/GsBRITBWOLJv1TcWys+XJ+U14vODvW/HpJ&#10;LTtzLsfIBD0vyuniii6ZIINZeTUvZ4sUv3gN5DHEj9IZloSat4TvIeH7DJ2VUYk17k0mHw6PIZ58&#10;f/okINZtlNZ0D5W2bKj57YJyMAE0b62GSKLxxECwXQ4TnFZNckkeAbvdg0Z2gDRB+XeG94tZyreG&#10;0J/s8lMygwrd3jZZ6iU0H2zD4tETy5bWgScwwXCmJS0PCdkugtJ/tyN+tCWaUh9OzCcpjrsxd7NM&#10;sdLNzjVH6nDwYqMI4yOEuAWkGS8pO8095f2+ByQs+pOlwbotrxI58VLBS2V3qYAVvaN1EhE5OykP&#10;Ma8Xpc/YaG5zM887lhbjUs9Wr1+C1Q8AAAD//wMAUEsDBBQABgAIAAAAIQDvUVq92wAAAAUBAAAP&#10;AAAAZHJzL2Rvd25yZXYueG1sTI/BTsMwEETvSPyDtUjcqEOIoErjVKgCUXGCkgs3N94mEfY6ip00&#10;+XsWLnAZaTWjmbfFdnZWTDiEzpOC21UCAqn2pqNGQfXxfLMGEaImo60nVLBggG15eVHo3PgzveN0&#10;iI3gEgq5VtDG2OdShrpFp8PK90jsnfzgdORzaKQZ9JnLnZVpktxLpzvihVb3uGux/jqMToGu3pqX&#10;J0JbjdPrjj73S7pPF6Wur+bHDYiIc/wLww8+o0PJTEc/kgnCKuBH4q+yl91lDyCOHFpnKciykP/p&#10;y28AAAD//wMAUEsBAi0AFAAGAAgAAAAhALaDOJL+AAAA4QEAABMAAAAAAAAAAAAAAAAAAAAAAFtD&#10;b250ZW50X1R5cGVzXS54bWxQSwECLQAUAAYACAAAACEAOP0h/9YAAACUAQAACwAAAAAAAAAAAAAA&#10;AAAvAQAAX3JlbHMvLnJlbHNQSwECLQAUAAYACAAAACEA6o8jwjgCAABRBAAADgAAAAAAAAAAAAAA&#10;AAAuAgAAZHJzL2Uyb0RvYy54bWxQSwECLQAUAAYACAAAACEA71FavdsAAAAFAQAADwAAAAAAAAAA&#10;AAAAAACSBAAAZHJzL2Rvd25yZXYueG1sUEsFBgAAAAAEAAQA8wAAAJoFAAAAAA==&#10;" filled="f">
                      <v:stroke startarrowwidth="narrow" startarrowlength="short" endarrowwidth="narrow" endarrowlength="short"/>
                      <v:textbox inset="2.53958mm,2.53958mm,2.53958mm,2.53958mm">
                        <w:txbxContent>
                          <w:p w:rsidR="00E41CA4" w:rsidRDefault="00E41CA4">
                            <w:pPr>
                              <w:spacing w:line="240" w:lineRule="auto"/>
                              <w:textDirection w:val="btLr"/>
                            </w:pPr>
                          </w:p>
                        </w:txbxContent>
                      </v:textbox>
                      <w10:anchorlock/>
                    </v:shape>
                  </w:pict>
                </mc:Fallback>
              </mc:AlternateContent>
            </w:r>
          </w:p>
        </w:tc>
        <w:tc>
          <w:tcPr>
            <w:tcW w:w="7305" w:type="dxa"/>
            <w:shd w:val="clear" w:color="auto" w:fill="auto"/>
            <w:tcMar>
              <w:top w:w="100" w:type="dxa"/>
              <w:left w:w="100" w:type="dxa"/>
              <w:bottom w:w="100" w:type="dxa"/>
              <w:right w:w="100" w:type="dxa"/>
            </w:tcMar>
          </w:tcPr>
          <w:p w:rsidR="00E41CA4" w:rsidRDefault="00E41CA4">
            <w:pPr>
              <w:widowControl w:val="0"/>
              <w:spacing w:line="240" w:lineRule="auto"/>
            </w:pPr>
          </w:p>
          <w:p w:rsidR="00E41CA4" w:rsidRDefault="00E41CA4">
            <w:pPr>
              <w:widowControl w:val="0"/>
              <w:spacing w:line="240" w:lineRule="auto"/>
            </w:pPr>
          </w:p>
          <w:p w:rsidR="00E41CA4" w:rsidRDefault="001926F9">
            <w:pPr>
              <w:widowControl w:val="0"/>
              <w:spacing w:line="240" w:lineRule="auto"/>
              <w:jc w:val="center"/>
            </w:pPr>
            <w:r>
              <w:rPr>
                <w:noProof/>
              </w:rPr>
              <w:drawing>
                <wp:inline distT="114300" distB="114300" distL="114300" distR="114300">
                  <wp:extent cx="2724150" cy="3287183"/>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
                          <a:srcRect l="3045" t="2922" r="5661" b="4438"/>
                          <a:stretch>
                            <a:fillRect/>
                          </a:stretch>
                        </pic:blipFill>
                        <pic:spPr>
                          <a:xfrm>
                            <a:off x="0" y="0"/>
                            <a:ext cx="2724150" cy="3287183"/>
                          </a:xfrm>
                          <a:prstGeom prst="rect">
                            <a:avLst/>
                          </a:prstGeom>
                          <a:ln/>
                        </pic:spPr>
                      </pic:pic>
                    </a:graphicData>
                  </a:graphic>
                </wp:inline>
              </w:drawing>
            </w:r>
          </w:p>
          <w:p w:rsidR="00E41CA4" w:rsidRDefault="00E41CA4">
            <w:pPr>
              <w:widowControl w:val="0"/>
              <w:spacing w:line="240" w:lineRule="auto"/>
            </w:pPr>
          </w:p>
          <w:p w:rsidR="00E41CA4" w:rsidRDefault="00E41CA4">
            <w:pPr>
              <w:widowControl w:val="0"/>
              <w:spacing w:line="240" w:lineRule="auto"/>
            </w:pPr>
          </w:p>
          <w:p w:rsidR="00E41CA4" w:rsidRDefault="00E41CA4">
            <w:pPr>
              <w:widowControl w:val="0"/>
              <w:spacing w:line="240" w:lineRule="auto"/>
              <w:jc w:val="center"/>
            </w:pPr>
          </w:p>
        </w:tc>
      </w:tr>
      <w:tr w:rsidR="00E41CA4">
        <w:trPr>
          <w:trHeight w:val="5280"/>
        </w:trPr>
        <w:tc>
          <w:tcPr>
            <w:tcW w:w="7905" w:type="dxa"/>
            <w:shd w:val="clear" w:color="auto" w:fill="auto"/>
            <w:tcMar>
              <w:top w:w="100" w:type="dxa"/>
              <w:left w:w="100" w:type="dxa"/>
              <w:bottom w:w="100" w:type="dxa"/>
              <w:right w:w="100" w:type="dxa"/>
            </w:tcMar>
          </w:tcPr>
          <w:p w:rsidR="00E41CA4" w:rsidRDefault="00E41CA4">
            <w:pPr>
              <w:widowControl w:val="0"/>
              <w:spacing w:line="240" w:lineRule="auto"/>
            </w:pPr>
          </w:p>
        </w:tc>
        <w:tc>
          <w:tcPr>
            <w:tcW w:w="7815" w:type="dxa"/>
            <w:shd w:val="clear" w:color="auto" w:fill="auto"/>
            <w:tcMar>
              <w:top w:w="100" w:type="dxa"/>
              <w:left w:w="100" w:type="dxa"/>
              <w:bottom w:w="100" w:type="dxa"/>
              <w:right w:w="100" w:type="dxa"/>
            </w:tcMar>
          </w:tcPr>
          <w:p w:rsidR="00E41CA4" w:rsidRDefault="00E41CA4">
            <w:pPr>
              <w:widowControl w:val="0"/>
              <w:spacing w:line="240" w:lineRule="auto"/>
            </w:pPr>
          </w:p>
        </w:tc>
        <w:tc>
          <w:tcPr>
            <w:tcW w:w="7305" w:type="dxa"/>
            <w:shd w:val="clear" w:color="auto" w:fill="auto"/>
            <w:tcMar>
              <w:top w:w="100" w:type="dxa"/>
              <w:left w:w="100" w:type="dxa"/>
              <w:bottom w:w="100" w:type="dxa"/>
              <w:right w:w="100" w:type="dxa"/>
            </w:tcMar>
          </w:tcPr>
          <w:p w:rsidR="00E41CA4" w:rsidRDefault="00E41CA4">
            <w:pPr>
              <w:widowControl w:val="0"/>
              <w:spacing w:line="240" w:lineRule="auto"/>
            </w:pPr>
          </w:p>
        </w:tc>
      </w:tr>
    </w:tbl>
    <w:p w:rsidR="00E41CA4" w:rsidRDefault="00E41CA4">
      <w:pPr>
        <w:widowControl w:val="0"/>
        <w:spacing w:line="240" w:lineRule="auto"/>
      </w:pPr>
    </w:p>
    <w:sectPr w:rsidR="00E41CA4">
      <w:pgSz w:w="24480" w:h="15840"/>
      <w:pgMar w:top="720" w:right="720" w:bottom="720" w:left="72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CA4"/>
    <w:rsid w:val="001926F9"/>
    <w:rsid w:val="00E41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EC0593D-D231-4CA3-80D4-EF564964E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111</Words>
  <Characters>635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Swart</dc:creator>
  <cp:lastModifiedBy>David Swart</cp:lastModifiedBy>
  <cp:revision>2</cp:revision>
  <dcterms:created xsi:type="dcterms:W3CDTF">2018-02-20T15:55:00Z</dcterms:created>
  <dcterms:modified xsi:type="dcterms:W3CDTF">2018-02-20T15:55:00Z</dcterms:modified>
</cp:coreProperties>
</file>